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Schooling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Schooling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§261. SCHOOLING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