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Rules of commissioner</w:t>
      </w:r>
    </w:p>
    <w:p>
      <w:pPr>
        <w:jc w:val="both"/>
        <w:spacing w:before="100" w:after="100"/>
        <w:ind w:start="360"/>
        <w:ind w:firstLine="360"/>
      </w:pPr>
      <w:r>
        <w:rPr/>
      </w:r>
      <w:r>
        <w:rPr/>
      </w:r>
      <w:r>
        <w:t xml:space="preserve">The commissioner may adopt rules regarding tuition charges, accounting, audits, contracts and other aspects of schooling privileges arranged between a private school and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§§A10,A25 (AMD). PL 1985, c. 797,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 Rules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Rules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§2954. RULES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