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§3637. APPORTIONMENT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