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3647</w:t>
        <w:t xml:space="preserve">.  </w:t>
      </w:r>
      <w:r>
        <w:rPr>
          <w:b/>
        </w:rPr>
        <w:t xml:space="preserve">Tax exemption</w:t>
      </w:r>
    </w:p>
    <w:p>
      <w:pPr>
        <w:jc w:val="both"/>
        <w:spacing w:before="100" w:after="100"/>
        <w:ind w:start="360"/>
        <w:ind w:firstLine="360"/>
      </w:pPr>
      <w:r>
        <w:rPr/>
      </w:r>
      <w:r>
        <w:rPr/>
      </w:r>
      <w:r>
        <w:t xml:space="preserve">Bonds and notes of an interstate school district shall be exempt from local property taxes in both states, and the interest or discount thereon and any profit derived from the disposition thereof shall be exempt from personal income taxes in both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§3647.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§3647.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§3647.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