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§3806. Direct state funding of an education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Direct state funding of an education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§3806. DIRECT STATE FUNDING OF AN EDUCATION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