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§4724. Computer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Computer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§4724. COMPUTER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