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 School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School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§4801. SCHOOL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