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Residence</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chapter, "parent" means the parent or guardian with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§56 (AMD).]</w:t>
      </w:r>
    </w:p>
    <w:p>
      <w:pPr>
        <w:jc w:val="both"/>
        <w:spacing w:before="100" w:after="0"/>
        <w:ind w:start="360"/>
        <w:ind w:firstLine="360"/>
      </w:pPr>
      <w:r>
        <w:rPr>
          <w:b/>
        </w:rPr>
        <w:t>2</w:t>
        <w:t xml:space="preserve">.  </w:t>
      </w:r>
      <w:r>
        <w:rPr>
          <w:b/>
        </w:rPr>
        <w:t xml:space="preserve">General rule.</w:t>
        <w:t xml:space="preserve"> </w:t>
      </w:r>
      <w:r>
        <w:t xml:space="preserve"> </w:t>
      </w:r>
      <w:r>
        <w:t xml:space="preserve">A person is eligible to attend schools in the school administrative unit where the person's parent resides, where the person resides upon reaching the age of 18 years or upon becoming an emancipated minor.  A federal installation shall be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789, §§ 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§§56,57 (AMD). PL 1985, c. 789,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§5202.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§5202.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