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 Student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Student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§6004. STUDENT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