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6211</w:t>
        <w:t xml:space="preserve">.  </w:t>
      </w:r>
      <w:r>
        <w:rPr>
          <w:b/>
        </w:rPr>
        <w:t xml:space="preserve">Rulemaking</w:t>
      </w:r>
    </w:p>
    <w:p>
      <w:pPr>
        <w:jc w:val="both"/>
        <w:spacing w:before="100" w:after="100"/>
        <w:ind w:start="360"/>
        <w:ind w:firstLine="360"/>
      </w:pPr>
      <w:r>
        <w:rPr/>
      </w:r>
      <w:r>
        <w:rPr/>
      </w:r>
      <w:r>
        <w:t xml:space="preserve">The commissioner shall develop rules to accomplish the purposes of this chapter.  Rules adopted by the commissioner under this chapter must include guidelines and protocols to strengthen the capacity of school administrative units to ensure sufficient opportunity through multiple pathways for all students to achieve proficiency in meeting the state standards and guiding principles under the system of learning results established pursuant to </w:t>
      </w:r>
      <w:r>
        <w:t>section 6209</w:t>
      </w:r>
      <w:r>
        <w:t xml:space="preserve">.  Rules adopted pursuant to this chapter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§33 (NEW). PL 2015, c. 489,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§6211.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§6211.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§6211.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