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§6554. Prohibition on bullying in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Prohibition on bullying in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§6554. PROHIBITION ON BULLYING IN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