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6606</w:t>
        <w:t xml:space="preserve">.  </w:t>
      </w:r>
      <w:r>
        <w:rPr>
          <w:b/>
        </w:rPr>
        <w:t xml:space="preserve">Participation in substance use disorder services</w:t>
      </w:r>
    </w:p>
    <w:p>
      <w:pPr>
        <w:jc w:val="both"/>
        <w:spacing w:before="100" w:after="100"/>
        <w:ind w:start="360"/>
        <w:ind w:firstLine="360"/>
      </w:pPr>
      <w:r>
        <w:rPr/>
      </w:r>
      <w:r>
        <w:rPr/>
      </w:r>
      <w:r>
        <w:t xml:space="preserve">In compliance with written school policy adopted by a school board, the school board may require that a student who has been determined to be in violation of school rules governing substance use or alcohol or drug possession participate in a substance use assessment, education or support group service offered by the school.  The school board shall provide for notice to the parents or legal guardian of a student required to participate in such services.  If the school board elects to do so, it may request a parent or legal guardian to participate in the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708, §3 (NEW). PL 2017, c. 407, Pt. A,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§6606. Participation in substance use disorder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§6606. Participation in substance use disorder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§6606. PARTICIPATION IN SUBSTANCE USE DISORDER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