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§6662. Foods outside school meal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Foods outside school meal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§6662. FOODS OUTSIDE SCHOOL MEAL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