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§6803. Fraud; false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Fraud; false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§6803. FRAUD; FALSE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