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6910</w:t>
        <w:t xml:space="preserve">.  </w:t>
      </w:r>
      <w:r>
        <w:rPr>
          <w:b/>
        </w:rPr>
        <w:t xml:space="preserve">Annual report</w:t>
      </w:r>
    </w:p>
    <w:p>
      <w:pPr>
        <w:jc w:val="both"/>
        <w:spacing w:before="100" w:after="100"/>
        <w:ind w:start="360"/>
        <w:ind w:firstLine="360"/>
      </w:pPr>
      <w:r>
        <w:rPr/>
      </w:r>
      <w:r>
        <w:rPr/>
      </w:r>
      <w:r>
        <w:t xml:space="preserve">The corporation shall provide an annual report of its activities to the Governor; to the joint standing committees of the Legislature having jurisdiction over education and labor and skills training matters; to the commissioner; and to the schools participating in the program.  The corporation shall provide an annual financial audit conducted by an independent auditor to the Governor; to the joint standing committees of the Legislature having jurisdiction over education and labor and skills training matters; and to the commissioner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2009, c. 213, Pt. 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2009, c. 213, Pt. 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§6910.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§6910.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§6910.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