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7413</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executive director shall designate a nonprofit organization as the private support organization for the center.  The designated organization must be incorporated as a nonprofit corporation under the laws of the State, and its sole purpose, as reflected in its bylaws, must be to organize and foster support for the center and the center's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executive director, or the executive director's designee, shall serve as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executive director shall negotiate an annual memorandum of understanding between the center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4</w:t>
        <w:t xml:space="preserve">.  </w:t>
      </w:r>
      <w:r>
        <w:rPr>
          <w:b/>
        </w:rPr>
        <w:t xml:space="preserve">Use of property.</w:t>
        <w:t xml:space="preserve"> </w:t>
      </w:r>
      <w:r>
        <w:t xml:space="preserve"> </w:t>
      </w:r>
      <w:r>
        <w:t xml:space="preserve">The executive director may permit the appropriate use of fixed property, equipment and facilities of the center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 PL 2021, c. 646,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§7413.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§7413.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§7413.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