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8353</w:t>
        <w:t xml:space="preserve">.  </w:t>
      </w:r>
      <w:r>
        <w:rPr>
          <w:b/>
        </w:rPr>
        <w:t xml:space="preserve">Tuition for students sent out of state</w:t>
      </w:r>
    </w:p>
    <w:p>
      <w:pPr>
        <w:jc w:val="both"/>
        <w:spacing w:before="100" w:after="100"/>
        <w:ind w:start="360"/>
        <w:ind w:firstLine="360"/>
      </w:pPr>
      <w:r>
        <w:rPr/>
      </w:r>
      <w:r>
        <w:rPr/>
      </w:r>
      <w:r>
        <w:t xml:space="preserve">If a unit that serves a student's residence determines that that student would be better served by receiving career and technical education, on a tuition basis, at an out-of-state secondary level career and technical school that is located closer to that student's residence than a Maine center, satellite program or region serving that student's residence, the State shall subsidize the unit the same amount for that student as would have been incurred by such a center, satellite program or region providing the same or similar career and technical education to the student.</w:t>
      </w:r>
      <w:r>
        <w:t xml:space="preserve">  </w:t>
      </w:r>
      <w:r xmlns:wp="http://schemas.openxmlformats.org/drawingml/2010/wordprocessingDrawing" xmlns:w15="http://schemas.microsoft.com/office/word/2012/wordml">
        <w:rPr>
          <w:rFonts w:ascii="Arial" w:hAnsi="Arial" w:cs="Arial"/>
          <w:sz w:val="22"/>
          <w:szCs w:val="22"/>
        </w:rPr>
        <w:t xml:space="preserve">[RR 2003, c. 2,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RR 2003, c. 2,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§8353. Tuition for students sent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§8353. Tuition for students sent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§8353. TUITION FOR STUDENTS SENT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