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§8466. TRANSFER OR LEASE OF SCHOOL PROPERTY TO A CAREER AND TECHNICAL EDUCATION REGION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