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319. PRIVATELY OWNED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