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§1015-B. Donations to an individual considering whether to become a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§1015-B. Donations to an individual considering whether to become a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§1015-B. DONATIONS TO AN INDIVIDUAL CONSIDERING WHETHER TO BECOME A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