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candidate that fails to register the name of a candidate, treasurer or political committee with the commission within the time allowed by </w:t>
      </w:r>
      <w:r>
        <w:t>section 1013‑A, subsection 1</w:t>
      </w:r>
      <w:r>
        <w:t xml:space="preserve"> may be assessed a forfeiture of $100.  The commission shall determine whether a registration satisfies the requirements for timely filing under </w:t>
      </w:r>
      <w:r>
        <w:t>section 1013‑A,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§18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7</w:t>
      </w:r>
      <w:r>
        <w:t xml:space="preserve">, the commission shall determine whether a report satisfies the requirements for timely filing.  The commission may waive a penalty in whole or in part if the commission determines that the penalty is disproportionate to the size of the candidate's campaign, the level of experience of the candidate, treasurer or campaign staff or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B</w:t>
        <w:t xml:space="preserve">.  </w:t>
      </w:r>
      <w:r>
        <w:rPr/>
      </w:r>
      <w:r>
        <w:t xml:space="preserve">An error by the commission staff;</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C</w:t>
        <w:t xml:space="preserve">.  </w:t>
      </w:r>
      <w:r>
        <w:rPr/>
      </w:r>
      <w:r>
        <w:t xml:space="preserve">Failure to receive notice of the filing deadline; or</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D</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2009, c. 190,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§13 (AMD).]</w:t>
      </w:r>
    </w:p>
    <w:p>
      <w:pPr>
        <w:jc w:val="both"/>
        <w:spacing w:before="100" w:after="0"/>
        <w:ind w:start="360"/>
        <w:ind w:firstLine="360"/>
      </w:pPr>
      <w:r>
        <w:rPr>
          <w:b/>
        </w:rPr>
        <w:t>3</w:t>
        <w:t xml:space="preserve">.  </w:t>
      </w:r>
      <w:r>
        <w:rPr>
          <w:b/>
        </w:rPr>
        <w:t xml:space="preserve">Municipal campaign finance reports.</w:t>
        <w:t xml:space="preserve"> </w:t>
      </w:r>
      <w:r>
        <w:t xml:space="preserve"> </w:t>
      </w:r>
      <w:r>
        <w:t xml:space="preserve">Municipal campaign finance reports must be filed, subject to all the provisions of this subchapter, with the municipal clerk on forms prescribed by the Commission on Governmental Ethics and Election Practices.  The municipal clerk shall send any notice of lateness required by </w:t>
      </w:r>
      <w:r>
        <w:t>subsection 6</w:t>
      </w:r>
      <w:r>
        <w:t xml:space="preserve"> and shall notify the commission of any late reports subject to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§22 (AMD); PL 2011, c. 389, §62 (AFF).]</w:t>
      </w:r>
    </w:p>
    <w:p>
      <w:pPr>
        <w:jc w:val="both"/>
        <w:spacing w:before="100" w:after="0"/>
        <w:ind w:start="360"/>
        <w:ind w:firstLine="360"/>
      </w:pPr>
      <w:r>
        <w:rPr>
          <w:b/>
        </w:rPr>
        <w:t>4</w:t>
        <w:t xml:space="preserve">.  </w:t>
      </w:r>
      <w:r>
        <w:rPr>
          <w:b/>
        </w:rPr>
        <w:t xml:space="preserve">Basis for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§7 (AMD); MRSA T. 21-A §1020-A, sub-§4 (RP).]</w:t>
      </w:r>
    </w:p>
    <w:p>
      <w:pPr>
        <w:jc w:val="both"/>
        <w:spacing w:before="100" w:after="100"/>
        <w:ind w:start="360"/>
        <w:ind w:firstLine="360"/>
      </w:pPr>
      <w:r>
        <w:rPr>
          <w:b/>
        </w:rPr>
        <w:t>4-A</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§14 (AMD).]</w:t>
      </w:r>
    </w:p>
    <w:p>
      <w:pPr>
        <w:jc w:val="both"/>
        <w:spacing w:before="100" w:after="0"/>
        <w:ind w:start="360"/>
        <w:ind w:firstLine="360"/>
      </w:pPr>
      <w:r>
        <w:rPr>
          <w:b/>
        </w:rPr>
        <w:t>5</w:t>
        <w:t xml:space="preserve">.  </w:t>
      </w:r>
      <w:r>
        <w:rPr>
          <w:b/>
        </w:rPr>
        <w:t xml:space="preserve">Maximum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§8 (AMD); MRSA T. 21-A §1020-A, sub-§5 (RP).]</w:t>
      </w:r>
    </w:p>
    <w:p>
      <w:pPr>
        <w:jc w:val="both"/>
        <w:spacing w:before="100" w:after="100"/>
        <w:ind w:start="360"/>
        <w:ind w:firstLine="360"/>
      </w:pPr>
      <w:r>
        <w:rPr>
          <w:b/>
        </w:rPr>
        <w:t>5-A</w:t>
        <w:t xml:space="preserve">.  </w:t>
      </w:r>
      <w:r>
        <w:rPr>
          <w:b/>
        </w:rPr>
        <w:t xml:space="preserve">Maximum penalties.</w:t>
        <w:t xml:space="preserve"> </w:t>
      </w:r>
      <w:r>
        <w:t xml:space="preserve"> </w:t>
      </w:r>
      <w:r>
        <w:t xml:space="preserve">Penalties assessed under this subchapter may not exceed:</w:t>
      </w:r>
    </w:p>
    <w:p>
      <w:pPr>
        <w:jc w:val="both"/>
        <w:spacing w:before="100" w:after="0"/>
        <w:ind w:start="720"/>
      </w:pPr>
      <w:r>
        <w:rPr/>
        <w:t>A</w:t>
        <w:t xml:space="preserve">.  </w:t>
      </w:r>
      <w:r>
        <w:rPr/>
      </w:r>
      <w:r>
        <w:t xml:space="preserve">Five thousand dollars for reports required under </w:t>
      </w:r>
      <w:r>
        <w:t>section 1017, subsection 2, paragraph B</w:t>
      </w:r>
      <w:r>
        <w:t xml:space="preserve">, </w:t>
      </w:r>
      <w:r>
        <w:t>C</w:t>
      </w:r>
      <w:r>
        <w:t xml:space="preserve">, </w:t>
      </w:r>
      <w:r>
        <w:t>D</w:t>
      </w:r>
      <w:r>
        <w:t xml:space="preserve">, </w:t>
      </w:r>
      <w:r>
        <w:t>E</w:t>
      </w:r>
      <w:r>
        <w:t xml:space="preserve"> or </w:t>
      </w:r>
      <w:r>
        <w:t>H</w:t>
      </w:r>
      <w:r>
        <w:t xml:space="preserve">; </w:t>
      </w:r>
      <w:r>
        <w:t>section 1017, subsection 3‑A, paragraph B</w:t>
      </w:r>
      <w:r>
        <w:t xml:space="preserve">, </w:t>
      </w:r>
      <w:r>
        <w:t>C</w:t>
      </w:r>
      <w:r>
        <w:t xml:space="preserve">, </w:t>
      </w:r>
      <w:r>
        <w:t>D</w:t>
      </w:r>
      <w:r>
        <w:t xml:space="preserve">, </w:t>
      </w:r>
      <w:r>
        <w:t>D‑1</w:t>
      </w:r>
      <w:r>
        <w:t xml:space="preserve"> or </w:t>
      </w:r>
      <w:r>
        <w:t>F</w:t>
      </w:r>
      <w:r>
        <w:t xml:space="preserve">; and </w:t>
      </w:r>
      <w:r>
        <w:t>section 1017,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A-1</w:t>
        <w:t xml:space="preserve">.  </w:t>
      </w:r>
      <w:r>
        <w:rPr/>
      </w:r>
      <w:r>
        <w:t xml:space="preserve">Five thousand dollars for reports required under </w:t>
      </w:r>
      <w:r>
        <w:t>section 1019‑B,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B</w:t>
        <w:t xml:space="preserve">.  </w:t>
      </w:r>
      <w:r>
        <w:rPr/>
      </w:r>
      <w:r>
        <w:t xml:space="preserve">Five thousand dollars for state party committee reports required under </w:t>
      </w:r>
      <w:r>
        <w:t>section 1017‑A, subsection 4‑A, paragraphs A</w:t>
      </w:r>
      <w:r>
        <w:t xml:space="preserve">, </w:t>
      </w:r>
      <w:r>
        <w:t>B</w:t>
      </w:r>
      <w:r>
        <w:t xml:space="preserve">, </w:t>
      </w:r>
      <w:r>
        <w:t>C</w:t>
      </w:r>
      <w:r>
        <w:t xml:space="preserve"> and </w:t>
      </w:r>
      <w:r>
        <w:t>E</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C</w:t>
        <w:t xml:space="preserve">.  </w:t>
      </w:r>
      <w:r>
        <w:rPr/>
      </w:r>
      <w:r>
        <w:t xml:space="preserve">One thousand dollars for reports required under </w:t>
      </w:r>
      <w:r>
        <w:t>section 1017, subsection 2, paragraphs A</w:t>
      </w:r>
      <w:r>
        <w:t xml:space="preserve"> and </w:t>
      </w:r>
      <w:r>
        <w:t>F</w:t>
      </w:r>
      <w:r>
        <w:t xml:space="preserve"> and </w:t>
      </w:r>
      <w:r>
        <w:t>section 1017, subsection 3‑A, paragraphs A</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D</w:t>
        <w:t xml:space="preserve">.  </w:t>
      </w:r>
      <w:r>
        <w:rPr/>
      </w:r>
      <w:r>
        <w:t xml:space="preserve">Five hundred dollars for municipal, district and county committees for reports required under </w:t>
      </w:r>
      <w:r>
        <w:t>section 1017‑A,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§19 (AMD).]</w:t>
      </w:r>
    </w:p>
    <w:p>
      <w:pPr>
        <w:jc w:val="both"/>
        <w:spacing w:before="100" w:after="0"/>
        <w:ind w:start="360"/>
        <w:ind w:firstLine="360"/>
      </w:pPr>
      <w:r>
        <w:rPr>
          <w:b/>
        </w:rPr>
        <w:t>6</w:t>
        <w:t xml:space="preserve">.  </w:t>
      </w:r>
      <w:r>
        <w:rPr>
          <w:b/>
        </w:rPr>
        <w:t xml:space="preserve">Request for a commission determination.</w:t>
        <w:t xml:space="preserve"> </w:t>
      </w:r>
      <w:r>
        <w:t xml:space="preserve"> </w:t>
      </w:r>
      <w:r>
        <w:t xml:space="preserve">If the commission staff finds that a candidate or political committee has failed to file a report required under this subchapter, the commission staff shall mail a notice to the candidate or political committee within 3 business days following the filing deadline informing the candidate or political committee that a report was not received.  If a candidate or a political committee files a report required under this subchapter late, a notice of preliminary penalty must be sent to the candidate or political committee whose registration or campaign finance report was not received by 11:59 p.m. on the deadline date, informing the candidate or political committee of the staff finding of violation and preliminary penalty calculated under </w:t>
      </w:r>
      <w:r>
        <w:t>subsection 4‑A</w:t>
      </w:r>
      <w:r>
        <w:t xml:space="preserve"> and providing the candidate or political committee with an opportunity to request a determination by the commission.   Any request for a determination must be made within 14 calendar days of receipt of the commission's notice.   A candidate or political committee requesting a determination may either appear in person or designate a representative to appear on the candidate's or political committee's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§17 (AMD).]</w:t>
      </w:r>
    </w:p>
    <w:p>
      <w:pPr>
        <w:jc w:val="both"/>
        <w:spacing w:before="100" w:after="100"/>
        <w:ind w:start="360"/>
        <w:ind w:firstLine="360"/>
      </w:pPr>
      <w:r>
        <w:rPr>
          <w:b/>
        </w:rPr>
        <w:t>7</w:t>
        <w:t xml:space="preserve">.  </w:t>
      </w:r>
      <w:r>
        <w:rPr>
          <w:b/>
        </w:rPr>
        <w:t xml:space="preserve">Final notice of penalty.</w:t>
        <w:t xml:space="preserve"> </w:t>
      </w:r>
      <w:r>
        <w:t xml:space="preserve"> </w:t>
      </w:r>
      <w:r>
        <w:t xml:space="preserve">If a determination has been requested by the candidate or political committee and made by the commission, notice of the commission's final determination and the penalty, if any, imposed pursuant to this subchapter must be sent to the candidate and the political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candidate and treasurer.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§6 (AMD).]</w:t>
      </w:r>
    </w:p>
    <w:p>
      <w:pPr>
        <w:jc w:val="both"/>
        <w:spacing w:before="100" w:after="0"/>
        <w:ind w:start="360"/>
        <w:ind w:firstLine="360"/>
      </w:pPr>
      <w:r>
        <w:rPr>
          <w:b/>
        </w:rPr>
        <w:t>8</w:t>
        <w:t xml:space="preserve">.  </w:t>
      </w:r>
      <w:r>
        <w:rPr>
          <w:b/>
        </w:rPr>
        <w:t xml:space="preserve">Failure to file report.</w:t>
        <w:t xml:space="preserve"> </w:t>
      </w:r>
      <w:r>
        <w:t xml:space="preserve"> </w:t>
      </w:r>
      <w:r>
        <w:t xml:space="preserve">The commission shall notify a candidate who has failed to file a report required by this subchapter, in writing, informing the candidate of the requirement to file a report.  The notice must be sent by certified mail.  If a candidate fails to file a report after 2 notices have been sent by the commission, the commission shall send a final notice by certified mail informing the candidate of the requirement to file and that the matter may be referred to the Attorney General for criminal prosecution.  A candidate who fails to file a report as required by this subchapter after the commission has sent the notices required by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§25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penalty for failure to file a report required under this subchapter may not exceed the maximum penalties as provided in </w:t>
      </w:r>
      <w:r>
        <w:t>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§6 (NEW).]</w:t>
      </w:r>
    </w:p>
    <w:p>
      <w:pPr>
        <w:jc w:val="both"/>
        <w:spacing w:before="100" w:after="0"/>
        <w:ind w:start="360"/>
        <w:ind w:firstLine="360"/>
      </w:pPr>
      <w:r>
        <w:rPr>
          <w:b/>
        </w:rPr>
        <w:t>9</w:t>
        <w:t xml:space="preserve">.  </w:t>
      </w:r>
      <w:r>
        <w:rPr>
          <w:b/>
        </w:rPr>
        <w:t xml:space="preserve">List of late-filing candidates.</w:t>
        <w:t xml:space="preserve"> </w:t>
      </w:r>
      <w:r>
        <w:t xml:space="preserve"> </w:t>
      </w:r>
      <w:r>
        <w:t xml:space="preserve">The commission shall prepare a list of the names of candidates who are late in filing a report required under </w:t>
      </w:r>
      <w:r>
        <w:t>section 1017, subsection 2, paragraph C</w:t>
      </w:r>
      <w:r>
        <w:t xml:space="preserve"> or </w:t>
      </w:r>
      <w:r>
        <w:t>D</w:t>
      </w:r>
      <w:r>
        <w:t xml:space="preserve"> or </w:t>
      </w:r>
      <w:r>
        <w:t>section 1017, subsection 3‑A, paragraph B</w:t>
      </w:r>
      <w:r>
        <w:t xml:space="preserve"> or </w:t>
      </w:r>
      <w:r>
        <w:t>C</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§15 (NEW).]</w:t>
      </w:r>
    </w:p>
    <w:p>
      <w:pPr>
        <w:jc w:val="both"/>
        <w:spacing w:before="100" w:after="0"/>
        <w:ind w:start="360"/>
        <w:ind w:firstLine="360"/>
      </w:pPr>
      <w:r>
        <w:rPr>
          <w:b/>
        </w:rPr>
        <w:t>10</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§10 (COR). IB 1995, c. 1, §15 (AMD). RR 1995, c. 2, §38 (COR). PL 1995, c. 483, §15 (NEW). PL 1995, c. 625, §B5 (AMD). PL 1999, c. 426, §§32,33 (AMD). PL 1999, c. 729, §5 (AMD). PL 2001, c. 470, §§7,8 (AMD). PL 2001, c. 470, §11 (AFF). PL 2001, c. 714, §PP1 (AMD). PL 2001, c. 714, §PP2 (AFF). RR 2003, c. 1, §14 (COR). PL 2003, c. 302, §4 (AMD). PL 2003, c. 448, §4 (AMD). PL 2003, c. 628, §§A3-6 (AMD). PL 2007, c. 443, Pt. A, §§21-25 (AMD). PL 2009, c. 190, Pt. A, §§13, 14 (AMD). PL 2009, c. 302, §§5-7 (AMD). PL 2009, c. 366, §6 (AMD). PL 2009, c. 366, §12 (AFF). PL 2011, c. 389, §§22-25 (AMD). PL 2011, c. 389, §62 (AFF). PL 2011, c. 558, §§3-5 (AMD). PL 2013, c. 334, §17 (AMD). IB 2015, c. 1, §§7, 8 (AMD). PL 2019, c. 323, §§18, 19 (AMD). PL 2023, c. 324,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§1020-A. Failure to file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§1020-A. Failure to file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§1020-A. FAILURE TO FILE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