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Appointment of treasurer; segregated campaign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Appointment of treasurer; segregated campaign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 APPOINTMENT OF TREASURER; SEGREGATED CAMPAIGN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