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Constitutional officers and State Auditor</w:t>
      </w:r>
    </w:p>
    <w:p>
      <w:pPr>
        <w:jc w:val="both"/>
        <w:spacing w:before="100" w:after="100"/>
        <w:ind w:start="360"/>
        <w:ind w:firstLine="360"/>
      </w:pPr>
      <w:r>
        <w:rPr/>
      </w:r>
      <w:r>
        <w:rPr/>
      </w:r>
      <w:r>
        <w:t xml:space="preserve">The Secretary of State, the Treasurer of State, the Attorney General, the State Auditor, or any individual running for these offices, may not form a political action committee or be involved in decision making for or solicit contributions to a political action committee.</w:t>
      </w:r>
      <w:r>
        <w:t xml:space="preserve">  </w:t>
      </w:r>
      <w:r xmlns:wp="http://schemas.openxmlformats.org/drawingml/2010/wordprocessingDrawing" xmlns:w15="http://schemas.microsoft.com/office/word/2012/wordml">
        <w:rPr>
          <w:rFonts w:ascii="Arial" w:hAnsi="Arial" w:cs="Arial"/>
          <w:sz w:val="22"/>
          <w:szCs w:val="22"/>
        </w:rPr>
        <w:t xml:space="preserve">[PL 1995, c. 167,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§1063. Constitutional officers and State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Constitutional officers and State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§1063. CONSTITUTIONAL OFFICERS AND STATE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