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Commission to adopt rules</w:t>
      </w:r>
    </w:p>
    <w:p>
      <w:pPr>
        <w:jc w:val="both"/>
        <w:spacing w:before="100" w:after="100"/>
        <w:ind w:start="360"/>
        <w:ind w:firstLine="360"/>
      </w:pPr>
      <w:r>
        <w:rPr/>
      </w:r>
      <w:r>
        <w:rPr/>
      </w:r>
      <w:r>
        <w:t xml:space="preserve">The commission shall adopt rules to ensure effective administration of this chapter.  These rules must include but may not be limited to procedures for obtaining qualifying contributions, certification as a Maine Clean Election Act candidate, circumstances involving special elections, recounts, collection of revenues for the fund, distribution of fund revenue to certified candidates, return of unspent fund disbursements, disposition of equipment purchased with clean election funds and compliance with the Maine Clean Election Act.  Rules of the commission required by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§7 (AMD). PL 2023, c. 211,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§1126. Commission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Commission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§1126. COMMISSION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