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Advance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Advance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§155. ADVANCE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