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Pending voter registration record.</w:t>
        <w:t xml:space="preserve"> </w:t>
      </w:r>
      <w:r>
        <w:t xml:space="preserve"> </w:t>
      </w:r>
      <w:r>
        <w:t xml:space="preserve">"Pending voter registration record" means the electronic record created by a source agency that contains the personal identification information, including name, age, citizenship and legal residence, and other information required by </w:t>
      </w:r>
      <w:r>
        <w:t>section 152</w:t>
      </w:r>
      <w:r>
        <w:t xml:space="preserve"> of a person who is in the process of being considered for voter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Proof of voter eligibility.</w:t>
        <w:t xml:space="preserve"> </w:t>
      </w:r>
      <w:r>
        <w:t xml:space="preserve"> </w:t>
      </w:r>
      <w:r>
        <w:t xml:space="preserve">"Proof of voter eligibility" means reliable evidence of a person's eligibility to vote and must include proof of age, citizenship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Source agency.</w:t>
        <w:t xml:space="preserve"> </w:t>
      </w:r>
      <w:r>
        <w:t xml:space="preserve"> </w:t>
      </w:r>
      <w:r>
        <w:t xml:space="preserve">"Source agency" means the bureau and a state agency or department or other entity designated as a source agency pursuant to </w:t>
      </w:r>
      <w:r>
        <w:t>section 233, subsection 1</w:t>
      </w:r>
      <w:r>
        <w:t xml:space="preserve"> that, as part of the normal course of business of that entity, collects documents that contain personal identification information that provides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