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Signatures and names</w:t>
      </w:r>
    </w:p>
    <w:p>
      <w:pPr>
        <w:jc w:val="both"/>
        <w:spacing w:before="100" w:after="100"/>
        <w:ind w:start="360"/>
        <w:ind w:firstLine="360"/>
      </w:pPr>
      <w:r>
        <w:rPr/>
      </w:r>
      <w:r>
        <w:rPr/>
      </w:r>
      <w:r>
        <w:t xml:space="preserve">When this Title requires a name or signature on a document, immaterial irregularities do not invalidate the name or signature if the identity of the person named is clear to the public official charged with reviewing that document.</w:t>
      </w:r>
      <w:r>
        <w:t xml:space="preserve">  </w:t>
      </w:r>
      <w:r xmlns:wp="http://schemas.openxmlformats.org/drawingml/2010/wordprocessingDrawing" xmlns:w15="http://schemas.microsoft.com/office/word/2012/wordml">
        <w:rPr>
          <w:rFonts w:ascii="Arial" w:hAnsi="Arial" w:cs="Arial"/>
          <w:sz w:val="22"/>
          <w:szCs w:val="22"/>
        </w:rPr>
        <w:t xml:space="preserve">[PL 2009, c. 538, §2 (AMD).]</w:t>
      </w:r>
    </w:p>
    <w:p>
      <w:pPr>
        <w:jc w:val="both"/>
        <w:spacing w:before="100" w:after="0"/>
        <w:ind w:start="360"/>
        <w:ind w:firstLine="360"/>
      </w:pPr>
      <w:r>
        <w:rPr>
          <w:b/>
        </w:rPr>
        <w:t>1</w:t>
        <w:t xml:space="preserve">.  </w:t>
      </w:r>
      <w:r>
        <w:rPr>
          <w:b/>
        </w:rPr>
        <w:t xml:space="preserve">Immaterial irregularities.</w:t>
        <w:t xml:space="preserve"> </w:t>
      </w:r>
      <w:r>
        <w:t xml:space="preserve"> </w:t>
      </w:r>
      <w:r>
        <w:t xml:space="preserve">Immaterial irregularities include, but are not limited to, misspelling, inclusion or omission of initials and substitution of initials or nicknames for given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policy applies to circumstances including, but not limited to, the following:</w:t>
      </w:r>
    </w:p>
    <w:p>
      <w:pPr>
        <w:jc w:val="both"/>
        <w:spacing w:before="100" w:after="0"/>
        <w:ind w:start="720"/>
      </w:pPr>
      <w:r>
        <w:rPr/>
        <w:t>A</w:t>
        <w:t xml:space="preserve">.  </w:t>
      </w:r>
      <w:r>
        <w:rPr/>
      </w:r>
      <w:r>
        <w:t xml:space="preserve">Absentee ballot applications;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Absentee ballot affidavits;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Signatures on petitions;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Names appearing for write-in candidates on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 (AMD). PL 2009, c. 538,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Signatures 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Signatures 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 SIGNATURES 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