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 Candidate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Candidate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§367. CANDIDATE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