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Representative to Legislature</w:t>
      </w:r>
    </w:p>
    <w:p>
      <w:pPr>
        <w:jc w:val="both"/>
        <w:spacing w:before="100" w:after="100"/>
        <w:ind w:start="360"/>
        <w:ind w:firstLine="360"/>
      </w:pPr>
      <w:r>
        <w:rPr/>
      </w:r>
      <w:r>
        <w:rPr/>
      </w:r>
      <w:r>
        <w:t xml:space="preserve">When there is a vacancy in the office of Representative to the Legislature, the municipal officers of any municipality affected by the vacancy may inform the Governor if there is a need to fill the vacancy before the next general election, and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§57 (AMD). PL 2011, c. 409, §2 (AMD). PL 2021, c. 570,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 Representative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Representative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§382. REPRESENTATIVE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