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Ballot preparation</w:t>
      </w:r>
    </w:p>
    <w:p>
      <w:pPr>
        <w:jc w:val="both"/>
        <w:spacing w:before="100" w:after="100"/>
        <w:ind w:start="360"/>
        <w:ind w:firstLine="360"/>
      </w:pPr>
      <w:r>
        <w:rPr/>
      </w:r>
      <w:r>
        <w:rPr/>
      </w:r>
      <w:r>
        <w:t xml:space="preserve">The Secretary of State shall prepare ballots for a presidential primary election.  A ballot must include the name of a person who files a petition with the Secretary of State in accordance with </w:t>
      </w:r>
      <w:r>
        <w:t>section 442</w:t>
      </w:r>
      <w:r>
        <w:t xml:space="preserve">.  The Secretary of State shall determine if a petition meets the requirements of </w:t>
      </w:r>
      <w:r>
        <w:t>sections 335</w:t>
      </w:r>
      <w:r>
        <w:t xml:space="preserve">, </w:t>
      </w:r>
      <w:r>
        <w:t>336</w:t>
      </w:r>
      <w:r>
        <w:t xml:space="preserve"> and 442, subject to challenge and appeal under </w:t>
      </w:r>
      <w:r>
        <w:t>section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§443.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