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Separate voting places; reimbursement of election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Separate voting places; reimbursement of election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§632. SEPARATE VOTING PLACES; REIMBURSEMENT OF ELECTION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