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§760-B. Procedures when clerk processes absentee ballots prior to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§760-B. Procedures when clerk processes absentee ballots prior to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§760-B. PROCEDURES WHEN CLERK PROCESSES ABSENTEE BALLOTS PRIOR TO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