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Return of election materials</w:t>
      </w:r>
    </w:p>
    <w:p>
      <w:pPr>
        <w:jc w:val="both"/>
        <w:spacing w:before="100" w:after="100"/>
        <w:ind w:start="360"/>
        <w:ind w:firstLine="360"/>
      </w:pPr>
      <w:r>
        <w:rPr/>
      </w:r>
      <w:r>
        <w:rPr/>
      </w:r>
      <w:r>
        <w:t xml:space="preserve">As soon as the ballots have been counted, the applications, where required, absentee ballots, return envelopes, lists required by </w:t>
      </w:r>
      <w:r>
        <w:t>sections 753‑B</w:t>
      </w:r>
      <w:r>
        <w:t xml:space="preserve"> and </w:t>
      </w:r>
      <w:r>
        <w:t>756</w:t>
      </w:r>
      <w:r>
        <w:t xml:space="preserve"> and other election materials must be repacked, in accordance with </w:t>
      </w:r>
      <w:r>
        <w:t>section 698</w:t>
      </w:r>
      <w:r>
        <w:t xml:space="preserve">, and returned to the clerk. The clerk shall keep them in the clerk's office for the time required by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§21 (RPR). PL 1999, c. 645,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§763. Return of election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Return of election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§763. RETURN OF ELECTION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