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781-A</w:t>
        <w:t xml:space="preserve">.  </w:t>
      </w:r>
      <w:r>
        <w:rPr>
          <w:b/>
        </w:rPr>
        <w:t xml:space="preserve">Absentee ballot application; procedure on receipt</w:t>
      </w:r>
    </w:p>
    <w:p>
      <w:pPr>
        <w:jc w:val="both"/>
        <w:spacing w:before="100" w:after="100"/>
        <w:ind w:start="360"/>
        <w:ind w:firstLine="360"/>
      </w:pPr>
      <w:r>
        <w:rPr/>
      </w:r>
      <w:r>
        <w:rPr/>
      </w:r>
      <w:r>
        <w:t xml:space="preserve">Notwithstanding the absentee ballot application deadline in </w:t>
      </w:r>
      <w:r>
        <w:t>section 753‑B, subsection 2, paragraph D</w:t>
      </w:r>
      <w:r>
        <w:t xml:space="preserve">, upon receipt of an application or written request for an absentee ballot prior to noon on the day before election day from a uniformed service voter or overseas voter that is accepted pursuant to </w:t>
      </w:r>
      <w:r>
        <w:t>section 753‑A</w:t>
      </w:r>
      <w:r>
        <w:t xml:space="preserve"> or </w:t>
      </w:r>
      <w:r>
        <w:t>section 783</w:t>
      </w:r>
      <w:r>
        <w:t xml:space="preserve">, the clerk or the Secretary of State shall immediately issue an absentee ballot and return envelope by the authorized means designated by the voter in the application.  If the ballot is to be transmitted to the voter by mail, the clerk or the Secretary of State shall type or write in ink the name and the residence address of the voter in the designated section of the return envelope.  The Secretary of State shall provide a return envelope that moves free of postage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304,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§34 (NEW). PL 2009, c. 563, §7 (AMD). PL 2011, c. 534, §22 (AMD). PL 2015, c. 447, §31 (AMD). PL 2019, c. 636, §18 (AMD). PL 2023, c. 304,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§781-A. Absentee ballot application; procedure on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§781-A. Absentee ballot application; procedure on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§781-A. ABSENTEE BALLOT APPLICATION; PROCEDURE ON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