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 with the exception of </w:t>
      </w:r>
      <w:r>
        <w:t>subsection 7</w:t>
      </w:r>
      <w:r>
        <w:t xml:space="preserve">.  If the National Popular Vote for President Act governs the manner of appointing presidential electors, counting of ballots must proceed according to the ranked-choice method of counting votes as described in </w:t>
      </w:r>
      <w:r>
        <w:t>section 723‑A,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PL 2023, c. 628,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§801.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