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Except as provided in subsection 2-A, the presidential electors at large shall cast their ballots for the presidential and vice-presidential candidates who received the largest number of votes in the State according to the ranked‑choice method of counting votes described in section 723‑A.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section 723‑A.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§7 (AMD).]</w:t>
      </w:r>
    </w:p>
    <w:p>
      <w:pPr>
        <w:jc w:val="both"/>
        <w:spacing w:before="100" w:after="0"/>
        <w:ind w:start="360"/>
        <w:ind w:firstLine="360"/>
      </w:pPr>
      <w:r>
        <w:rPr>
          <w:b/>
        </w:rPr>
        <w:t>2-A</w:t>
        <w:t xml:space="preserve">.  </w:t>
      </w:r>
      <w:r>
        <w:rPr>
          <w:b/>
        </w:rPr>
        <w:t xml:space="preserve">Presidential electors when National Popular Vote for President Act governs.</w:t>
        <w:t xml:space="preserve"> </w:t>
      </w:r>
      <w:r>
        <w:t xml:space="preserve"> </w:t>
      </w:r>
      <w:r>
        <w:t xml:space="preserve">Notwithstanding subsection 2, when the National Popular Vote for President Act governs the appointment of presidential electors, the presidential electors shall cast their ballots for the presidential slate designated as the national popular vote winner pursuant to section 1304.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§8 (NEW).]</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PL 2023, c. 628,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Convention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Convention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§805. CONVENTION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