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Obtaining and using</w:t>
      </w:r>
    </w:p>
    <w:p>
      <w:pPr>
        <w:jc w:val="both"/>
        <w:spacing w:before="100" w:after="100"/>
        <w:ind w:start="360"/>
        <w:ind w:firstLine="360"/>
      </w:pPr>
      <w:r>
        <w:rPr/>
      </w:r>
      <w:r>
        <w:rPr/>
      </w:r>
      <w:r>
        <w:t xml:space="preserve">A municipality may obtain and use voting machines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machines shall be used at each type of election authorized by the legislative body of the municipality. Once authorization has been given for use of the machines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machines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Provided by municipality.</w:t>
        <w:t xml:space="preserve"> </w:t>
      </w:r>
      <w:r>
        <w:t xml:space="preserve"> </w:t>
      </w:r>
      <w:r>
        <w:t xml:space="preserve">In those municipal voting districts using voting machines, the municipal officers of each municipality must provide at least one voting machine for each 450, or fraction exceeding 1/2 of that number, of the voters qualified to vote at each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Obtaining and 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Obtaining and 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§811. OBTAINING AND 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