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Directions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Directions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§823. DIRECTIONS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