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§825. ACTIVATION OF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