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903-C</w:t>
        <w:t xml:space="preserve">.  </w:t>
      </w:r>
      <w:r>
        <w:rPr>
          <w:b/>
        </w:rPr>
        <w:t xml:space="preserve">Direct initiative and people's veto petition organization required to be registered</w:t>
      </w:r>
    </w:p>
    <w:p>
      <w:pPr>
        <w:jc w:val="both"/>
        <w:spacing w:before="100" w:after="100"/>
        <w:ind w:start="360"/>
        <w:ind w:firstLine="360"/>
      </w:pPr>
      <w:r>
        <w:rPr/>
      </w:r>
      <w:r>
        <w:rPr/>
      </w:r>
      <w:r>
        <w:t xml:space="preserve">A petition organization shall register with the Secretary of State in accordance with this section.  For the purposes of this section, "petition organization" means a business entity that receives compensation for organizing, supervising or managing the circulation of petitions for a direct initiative of legislation or a people's veto referendum.</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100"/>
        <w:ind w:start="360"/>
        <w:ind w:firstLine="360"/>
      </w:pPr>
      <w:r>
        <w:rPr>
          <w:b/>
        </w:rPr>
        <w:t>1</w:t>
        <w:t xml:space="preserve">.  </w:t>
      </w:r>
      <w:r>
        <w:rPr>
          <w:b/>
        </w:rPr>
        <w:t xml:space="preserve">Registration.</w:t>
        <w:t xml:space="preserve"> </w:t>
      </w:r>
      <w:r>
        <w:t xml:space="preserve"> </w:t>
      </w:r>
      <w:r>
        <w:t xml:space="preserve">Prior to organizing, supervising or managing the circulation of petitions for a direct initiative of legislation or a people's veto referendum, a petition organization, in addition to meeting any other requirement to transact business in this State, shall register with the Secretary of State on a form prescribed by the Secretary of State.  The registration form must include the following:</w:t>
      </w:r>
    </w:p>
    <w:p>
      <w:pPr>
        <w:jc w:val="both"/>
        <w:spacing w:before="100" w:after="0"/>
        <w:ind w:start="720"/>
      </w:pPr>
      <w:r>
        <w:rPr/>
        <w:t>A</w:t>
        <w:t xml:space="preserve">.  </w:t>
      </w:r>
      <w:r>
        <w:rPr/>
      </w:r>
      <w:r>
        <w:t xml:space="preserve">The ballot question or title of each direct initiative of legislation or people's veto referendum for which the petition organization will receive compensation;</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0"/>
        <w:ind w:start="720"/>
      </w:pPr>
      <w:r>
        <w:rPr/>
        <w:t>B</w:t>
        <w:t xml:space="preserve">.  </w:t>
      </w:r>
      <w:r>
        <w:rPr/>
      </w:r>
      <w:r>
        <w:t xml:space="preserve">Contact information for the petition organization, including the name of the petition organization, street address or post office box, telephone number and e-mail address;</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C</w:t>
        <w:t xml:space="preserve">.  </w:t>
      </w:r>
      <w:r>
        <w:rPr/>
      </w:r>
      <w:r>
        <w:t xml:space="preserve">The name and signature of a designated agent for the petition organization; and</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D</w:t>
        <w:t xml:space="preserve">.  </w:t>
      </w:r>
      <w:r>
        <w:rPr/>
      </w:r>
      <w:r>
        <w:t xml:space="preserve">A list containing the names of all individuals hired by the petition organization to assist in circulating petitions or in organizing, supervising or managing the circulation.  The list must include a statement indicating the method by which the individuals hired to assist in circulating petitions are being compensated.  The list must be updated and resubmitted to the Secretary of State when the petitions are filed pursuant to the Constitution of Maine, Article IV, Part Third, Section 17 or 18.</w:t>
      </w:r>
      <w:r>
        <w:t xml:space="preserve">  </w:t>
      </w:r>
      <w:r xmlns:wp="http://schemas.openxmlformats.org/drawingml/2010/wordprocessingDrawing" xmlns:w15="http://schemas.microsoft.com/office/word/2012/wordml">
        <w:rPr>
          <w:rFonts w:ascii="Arial" w:hAnsi="Arial" w:cs="Arial"/>
          <w:sz w:val="22"/>
          <w:szCs w:val="22"/>
        </w:rPr>
        <w:t xml:space="preserve">[PL 2019, c. 456, §2 (AMD).]</w:t>
      </w:r>
    </w:p>
    <w:p>
      <w:pPr>
        <w:jc w:val="both"/>
        <w:spacing w:before="100" w:after="0"/>
        <w:ind w:start="360"/>
      </w:pPr>
      <w:r>
        <w:rPr/>
      </w:r>
      <w:r>
        <w:rPr/>
      </w:r>
      <w:r>
        <w:t xml:space="preserve">The information contained in the registration form must be made available for public inspection and must be posted on the publicly accessible website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§4 (NEW). PL 2015, c. 99, §2 (AMD). PL 2019, c. 456,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§903-C. Direct initiative and people's veto petition organization required to be registered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§903-C. Direct initiative and people's veto petition organization required to be registered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§903-C. DIRECT INITIATIVE AND PEOPLE'S VETO PETITION ORGANIZATION REQUIRED TO BE REGISTERED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