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§903-E. PERSONS NOT AUTHORIZED TO ADMINISTER AN OATH OR AFFIRMATION TO A PETITION CIRCULATOR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