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§1326. INJUNCTION REQUIRING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