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Cancer-incidence registry</w:t>
      </w:r>
    </w:p>
    <w:p>
      <w:pPr>
        <w:jc w:val="both"/>
        <w:spacing w:before="100" w:after="100"/>
        <w:ind w:start="360"/>
        <w:ind w:firstLine="360"/>
      </w:pPr>
      <w:r>
        <w:rPr/>
      </w:r>
      <w:r>
        <w:rPr/>
      </w:r>
      <w:r>
        <w:t xml:space="preserve">The Department of Health and Human Services shall establish, maintain and operate a statewide cancer-incidence registry.</w:t>
      </w:r>
      <w:r>
        <w:t xml:space="preserve">  </w:t>
      </w:r>
      <w:r xmlns:wp="http://schemas.openxmlformats.org/drawingml/2010/wordprocessingDrawing" xmlns:w15="http://schemas.microsoft.com/office/word/2012/wordml">
        <w:rPr>
          <w:rFonts w:ascii="Arial" w:hAnsi="Arial" w:cs="Arial"/>
          <w:sz w:val="22"/>
          <w:szCs w:val="22"/>
        </w:rPr>
        <w:t xml:space="preserve">[PL 1981, c. 507,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507,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Cancer-incidence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Cancer-incidence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§1404. CANCER-INCIDENCE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