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§1471-O. EXERCISE OF POWERS BY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