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1581</w:t>
        <w:t xml:space="preserve">.  </w:t>
      </w:r>
      <w:r>
        <w:rPr>
          <w:b/>
        </w:rPr>
        <w:t xml:space="preserve">Purpose</w:t>
      </w:r>
    </w:p>
    <w:p>
      <w:pPr>
        <w:jc w:val="both"/>
        <w:spacing w:before="100" w:after="100"/>
        <w:ind w:start="360"/>
        <w:ind w:firstLine="360"/>
      </w:pPr>
      <w:r>
        <w:rPr/>
      </w:r>
      <w:r>
        <w:rPr/>
      </w:r>
      <w:r>
        <w:t xml:space="preserve">The purpose of this chapter is to protect the public health; to regulate and license the suppliers of compressed air used in self-contained breathing apparatus; to set up rules and regulations to establish the maximum permissible amount of all contaminants expressed either in percentages or in parts per million of volume, or both; to set up standards for the condition of the compression equipment; and to prescribe penalties for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