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Identification of exposed persons</w:t>
      </w:r>
    </w:p>
    <w:p>
      <w:pPr>
        <w:jc w:val="both"/>
        <w:spacing w:before="100" w:after="100"/>
        <w:ind w:start="360"/>
        <w:ind w:firstLine="360"/>
      </w:pPr>
      <w:r>
        <w:rPr/>
      </w:r>
      <w:r>
        <w:rPr/>
      </w:r>
      <w:r>
        <w:t xml:space="preserve">For the purpose of identifying persons who have been exposed to the potential hazards and afflictions of diethylstilbestrol and for the purpose of educating the public concerning the symptoms and prevention of associated malignancies, the Commissioner of Health and Human Services shall establish, promote and maintain a public information campaign on diethylstilbestrol. This campaign shall be conducted throughout the State and shall include, but not be limited to, a concerted effort at reaching those persons or the offspring of persons who have been exposed to diethylstilbestrol in order to encourage them to seek medical care for the prevention or treatment of any malignant condition.</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Identification of exposed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Identification of exposed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§1651. IDENTIFICATION OF EXPOSED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