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Assistance</w:t>
      </w:r>
    </w:p>
    <w:p>
      <w:pPr>
        <w:jc w:val="both"/>
        <w:spacing w:before="100" w:after="100"/>
        <w:ind w:start="360"/>
        <w:ind w:firstLine="360"/>
      </w:pPr>
      <w:r>
        <w:rPr/>
      </w:r>
      <w:r>
        <w:rPr/>
      </w:r>
      <w:r>
        <w:t xml:space="preserve">The commissioner may request and must receive from any department, division, board, bureau, commission or agency of the State, or of any political subdivision thereof, such assistance and data as will enable the commissioner to properly carry out the commissioner's activities hereunder and effectuate the purposes set forth in this chapter. The commissioner may also enter into any contract for services that the commissioner considers necessary with a private agency or concern upon such terms and conditions as the commissioner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2, Pt. B,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RR 2021, c. 2, Pt. B,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§1654.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§1654.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