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Voluntary restraint</w:t>
      </w:r>
    </w:p>
    <w:p>
      <w:pPr>
        <w:jc w:val="both"/>
        <w:spacing w:before="100" w:after="100"/>
        <w:ind w:start="360"/>
      </w:pPr>
      <w:r>
        <w:rPr>
          <w:b/>
        </w:rPr>
        <w:t>(REALLOCATED FROM TITLE 22, SECTION 1721)</w:t>
      </w:r>
    </w:p>
    <w:p>
      <w:pPr>
        <w:jc w:val="both"/>
        <w:spacing w:before="100" w:after="100"/>
        <w:ind w:start="360"/>
        <w:ind w:firstLine="360"/>
      </w:pPr>
      <w:r>
        <w:rPr>
          <w:b/>
        </w:rPr>
        <w:t>1</w:t>
        <w:t xml:space="preserve">.  </w:t>
      </w:r>
      <w:r>
        <w:rPr>
          <w:b/>
        </w:rPr>
        <w:t xml:space="preserve">Voluntary restraint.</w:t>
        <w:t xml:space="preserve"> </w:t>
      </w:r>
      <w:r>
        <w:t xml:space="preserve"> </w:t>
      </w:r>
      <w:r>
        <w:t xml:space="preserve">To control the rate of growth of the costs of hospital services, each hospital licensed under </w:t>
      </w:r>
      <w:r>
        <w:t>chapter 405</w:t>
      </w:r>
      <w:r>
        <w:t xml:space="preserve"> may voluntarily restrain cost increases and consolidated operating margins in accordance with this section. Each hospital shall annually report to the joint standing committee of the Legislature having jurisdiction over health and human services matters regarding its efforts made pursuant to this section. The targets and methodology apply to each hospital’s fiscal year beginning on or after the effective date of this section.</w:t>
      </w:r>
    </w:p>
    <w:p>
      <w:pPr>
        <w:jc w:val="both"/>
        <w:spacing w:before="100" w:after="0"/>
        <w:ind w:start="720"/>
      </w:pPr>
      <w:r>
        <w:rPr/>
        <w:t>A</w:t>
        <w:t xml:space="preserve">.  </w:t>
      </w:r>
      <w:r>
        <w:rPr/>
      </w:r>
      <w:r>
        <w:t xml:space="preserve">Each hospital may voluntarily hold its consolidated operating margin to no more than 3%.  For purposes of this paragraph, a hospital’s consolidated operating margin is calculated by dividing its consolidated operating income by its total consolidated operating revenue.</w:t>
      </w:r>
      <w:r>
        <w:t xml:space="preserve">  </w:t>
      </w:r>
      <w:r xmlns:wp="http://schemas.openxmlformats.org/drawingml/2010/wordprocessingDrawing" xmlns:w15="http://schemas.microsoft.com/office/word/2012/wordml">
        <w:rPr>
          <w:rFonts w:ascii="Arial" w:hAnsi="Arial" w:cs="Arial"/>
          <w:sz w:val="22"/>
          <w:szCs w:val="22"/>
        </w:rPr>
        <w:t xml:space="preserve">[RR 2007, c. 2, §9 (RAL).]</w:t>
      </w:r>
    </w:p>
    <w:p>
      <w:pPr>
        <w:jc w:val="both"/>
        <w:spacing w:before="100" w:after="0"/>
        <w:ind w:start="720"/>
      </w:pPr>
      <w:r>
        <w:rPr/>
        <w:t>B</w:t>
        <w:t xml:space="preserve">.  </w:t>
      </w:r>
      <w:r>
        <w:rPr/>
      </w:r>
      <w:r>
        <w:t xml:space="preserve">Each hospital may voluntarily restrain its increase in its expense per casemix-adjusted inpatient and volume-adjusted outpatient discharge to no more than 110% of the forecasted increase in the hospital market basket index for the coming federal fiscal year, as published in the Federal Register, when the federal Centers for Medicare and Medicaid Services publishes the Medicare program’s hospital inpatient prospective payment system rates for the coming federal fiscal year. For purposes of this paragraph, the measure of a hospital’s expense per casemix-adjusted inpatient and volume-adjusted outpatient discharge is calculated by:</w:t>
      </w:r>
    </w:p>
    <w:p>
      <w:pPr>
        <w:jc w:val="both"/>
        <w:spacing w:before="100" w:after="0"/>
        <w:ind w:start="1080"/>
      </w:pPr>
      <w:r>
        <w:rPr/>
        <w:t>(</w:t>
        <w:t>1</w:t>
        <w:t xml:space="preserve">)  </w:t>
      </w:r>
      <w:r>
        <w:rPr/>
      </w:r>
      <w:r>
        <w:t xml:space="preserve">Calculating the hospital’s total hospital-only expenses;</w:t>
      </w:r>
    </w:p>
    <w:p>
      <w:pPr>
        <w:jc w:val="both"/>
        <w:spacing w:before="100" w:after="0"/>
        <w:ind w:start="1080"/>
      </w:pPr>
      <w:r>
        <w:rPr/>
        <w:t>(</w:t>
        <w:t>2</w:t>
        <w:t xml:space="preserve">)  </w:t>
      </w:r>
      <w:r>
        <w:rPr/>
      </w:r>
      <w:r>
        <w:t xml:space="preserve">Subtracting from the hospital’s total hospital-only expenses the amount of the hospital’s bad debt;</w:t>
      </w:r>
    </w:p>
    <w:p>
      <w:pPr>
        <w:jc w:val="both"/>
        <w:spacing w:before="100" w:after="0"/>
        <w:ind w:start="1080"/>
      </w:pPr>
      <w:r>
        <w:rPr/>
        <w:t>(</w:t>
        <w:t>3</w:t>
        <w:t xml:space="preserve">)  </w:t>
      </w:r>
      <w:r>
        <w:rPr/>
      </w:r>
      <w:r>
        <w:t xml:space="preserve">Subtracting from the amount reached in subparagraph (2) the hospital taxes paid to the State during the hospital’s fiscal year; and</w:t>
      </w:r>
    </w:p>
    <w:p>
      <w:pPr>
        <w:jc w:val="both"/>
        <w:spacing w:before="100" w:after="0"/>
        <w:ind w:start="1080"/>
      </w:pPr>
      <w:r>
        <w:rPr/>
        <w:t>(</w:t>
        <w:t>4</w:t>
        <w:t xml:space="preserve">)  </w:t>
      </w:r>
      <w:r>
        <w:rPr/>
      </w:r>
      <w:r>
        <w:t xml:space="preserve">Dividing the amount reached in subparagraph (3) by the product of:</w:t>
      </w:r>
    </w:p>
    <w:p>
      <w:pPr>
        <w:jc w:val="both"/>
        <w:spacing w:before="100" w:after="0"/>
        <w:ind w:start="1440"/>
      </w:pPr>
      <w:r>
        <w:rPr/>
        <w:t>(</w:t>
        <w:t>a</w:t>
        <w:t xml:space="preserve">)  </w:t>
      </w:r>
      <w:r>
        <w:rPr/>
      </w:r>
      <w:r>
        <w:t xml:space="preserve">The number of inpatient discharges, adjusted by the all payer case mix index for the hospital; and</w:t>
      </w:r>
    </w:p>
    <w:p>
      <w:pPr>
        <w:jc w:val="both"/>
        <w:spacing w:before="100" w:after="0"/>
        <w:ind w:start="1440"/>
      </w:pPr>
      <w:r>
        <w:rPr/>
        <w:t>(</w:t>
        <w:t>b</w:t>
        <w:t xml:space="preserve">)  </w:t>
      </w:r>
      <w:r>
        <w:rPr/>
      </w:r>
      <w:r>
        <w:t xml:space="preserve">The ratio of total gross patient service revenue to gross inpatient service revenue.</w:t>
      </w:r>
    </w:p>
    <w:p>
      <w:pPr>
        <w:jc w:val="both"/>
        <w:spacing w:before="100" w:after="0"/>
        <w:ind w:start="720"/>
      </w:pPr>
      <w:r>
        <w:rPr/>
      </w:r>
      <w:r>
        <w:rPr/>
      </w:r>
      <w:r>
        <w:t xml:space="preserve">For the purposes of this paragraph, a hospital’s total hospital-only expenses include any item that is listed on the hospital’s Medicare cost report as a subprovider, such as a psychiatric unit or rehabilitation unit, and does not include nonhospital cost centers shown on the hospital’s Medicare cost report, such as home health agencies, nursing facilities, swing beds, skilled nursing facilities and hospital-owned physician practices. For purposes of this paragraph, a hospital’s bad debt is as defined and reported in the hospital’s Medicare cost report and as submitted to the Maine Health Data Organization pursuant to </w:t>
      </w:r>
      <w:r>
        <w:t>chapter 1683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§9 (RAL). PL 2023, c. 405, Pt. A,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§1722. Voluntary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Voluntary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§1722. VOLUNTARY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