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Temporary facilities</w:t>
      </w:r>
    </w:p>
    <w:p>
      <w:pPr>
        <w:jc w:val="both"/>
        <w:spacing w:before="100" w:after="100"/>
        <w:ind w:start="360"/>
        <w:ind w:firstLine="360"/>
      </w:pPr>
      <w:r>
        <w:rPr/>
      </w:r>
      <w:r>
        <w:rPr/>
      </w:r>
      <w:r>
        <w:t xml:space="preserve">Notwithstanding the provisions of </w:t>
      </w:r>
      <w:r>
        <w:t>section 1761</w:t>
      </w:r>
      <w:r>
        <w:t xml:space="preserve">, in the event of an outbreak of any disease or health problem dangerous to the public health, the municipal officers or local health officer, with the approval of the department, may establish temporary health care facilities, subject to the supervision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1977, c. 696, §187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§2 (RPR). PL 1977, c. 457, §4 (RP). PL 1977, c. 696, §187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§1762. Temporary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Temporary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§1762. TEMPORARY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