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1815-A</w:t>
        <w:t xml:space="preserve">.  </w:t>
      </w:r>
      <w:r>
        <w:rPr>
          <w:b/>
        </w:rPr>
        <w:t xml:space="preserve">Nursing home surcharge</w:t>
      </w:r>
    </w:p>
    <w:p>
      <w:pPr>
        <w:jc w:val="both"/>
        <w:spacing w:before="100" w:after="100"/>
        <w:ind w:start="360"/>
        <w:ind w:firstLine="360"/>
      </w:pPr>
      <w:r>
        <w:rPr/>
      </w:r>
      <w:r>
        <w:rPr/>
      </w:r>
      <w:r>
        <w:t xml:space="preserve">In addition to the fee in </w:t>
      </w:r>
      <w:r>
        <w:t>section 1815</w:t>
      </w:r>
      <w:r>
        <w:t xml:space="preserve">, an application for a license to operate a nursing home must be accompanied by a nonrefundable surcharge of $5 for each bed contained within the facility.  The surcharge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765,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§1815-A. Nursing home surcharge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§1815-A. Nursing home surcharge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§1815-A. NURSING HOME SURCHARGE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